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32" w:rsidRPr="00EA1A32" w:rsidRDefault="00EA1A32" w:rsidP="00EA1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>Приложение 2</w:t>
      </w:r>
    </w:p>
    <w:p w:rsidR="00EA1A32" w:rsidRPr="00EA1A32" w:rsidRDefault="00EA1A32" w:rsidP="00EA1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к приказу комитета по тарифам и ценовой политике Ленинградской области</w:t>
      </w:r>
    </w:p>
    <w:p w:rsidR="00EA1A32" w:rsidRPr="00EA1A32" w:rsidRDefault="00EA1A32" w:rsidP="00EA1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от 20 декабря 2024 года № 424-п</w:t>
      </w:r>
    </w:p>
    <w:p w:rsidR="00EA1A32" w:rsidRPr="00EA1A32" w:rsidRDefault="00EA1A32" w:rsidP="00EA1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Тарифы на тепловую энергию, поставляемую населению,</w:t>
      </w:r>
    </w:p>
    <w:p w:rsidR="00EA1A32" w:rsidRPr="00EA1A32" w:rsidRDefault="00EA1A32" w:rsidP="00EA1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организациям, приобретающим тепловую энергию для предоставления коммунальных услуг населению, на территории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EA1A3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Гатчинский муниципальный округ Ленинградской</w:t>
      </w:r>
    </w:p>
    <w:p w:rsidR="00EA1A32" w:rsidRPr="00EA1A32" w:rsidRDefault="00EA1A32" w:rsidP="00EA1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области на 2025 год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979"/>
        <w:gridCol w:w="2267"/>
        <w:gridCol w:w="1072"/>
        <w:gridCol w:w="125"/>
        <w:gridCol w:w="593"/>
        <w:gridCol w:w="593"/>
        <w:gridCol w:w="1383"/>
      </w:tblGrid>
      <w:tr w:rsidR="00EA1A32" w:rsidRPr="00EA1A32" w:rsidTr="00EA1A32">
        <w:trPr>
          <w:gridAfter w:val="4"/>
          <w:trHeight w:val="40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№ </w:t>
            </w:r>
            <w:proofErr w:type="gram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тарифа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Год с календарной разбивкой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Вода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зоне теплоснабжения муниципального унитарного предприятия «Тепловые сети» г. Гатчина</w:t>
            </w:r>
          </w:p>
        </w:tc>
      </w:tr>
      <w:tr w:rsidR="00EA1A32" w:rsidRPr="00EA1A32" w:rsidTr="00EA1A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населения, организаций, приобретающих тепловую энергию для предоставления коммунальных услуг населению, кроме потребителей, ранее получающих тепловую энергию от газовой котельной, расположенной по адресу г. Гатчина ул.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Киргетова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д. 21а муниципального образования Гатчинский муниципальный округ Ленинградской области (тарифы указываются с учетом НДС) 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5.1.1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Одноставочный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руб./Гкал</w:t>
            </w:r>
          </w:p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(в целях для оказания услуги по отоплению)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2 865,28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2 905,97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5.1.2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Одноставочный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руб./Гкал</w:t>
            </w:r>
          </w:p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(в целях оказания услуги по ГВС в МКД, оборудованных ИТП)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1 987,07  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2 326,86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населения, организаций, приобретающих тепловую энергию для предоставления коммунальных услуг населению, в зоне деятельности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Веревского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территориального управления администрации муниципального образования Гатчинский муниципальный округ Ленинградской области (тарифы указываются с учетом НДС) 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5.2.1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Одноставочный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руб./Гкал</w:t>
            </w:r>
          </w:p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(в целях для оказания услуги по отоплению)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2 832,82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2 905,97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5.2.2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Одноставочный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руб./Гкал</w:t>
            </w:r>
          </w:p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(в целях оказания услуги по ГВС в МКД, оборудованных ИТП)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1 870,15  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2 189,95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населения, организаций, приобретающих тепловую энергию для предоставления коммунальных услуг населению, ранее получающих тепловую энергию от газовой котельной, расположенной по адресу г. Гатчина ул.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Киргетова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д. 21а муниципального образования Гатчинский муниципальный округ Ленинградской области **** (тарифы указываются с учетом НДС) 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5.3.1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Одноставочный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руб./Гкал</w:t>
            </w:r>
          </w:p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(в целях для оказания услуги по отоплению)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2 411,15  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2 823,46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5.3.2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Одноставочный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руб./Гкал</w:t>
            </w:r>
          </w:p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(в целях оказания услуги по ГВС в МКД, оборудованных ИТП)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1 883,00  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2 204,99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**** Перечень адресов, в отношении которых применяется тариф, приведен в примечании №7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Примечания.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1. Тарифы установлены 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индексами изменения размера вносимой гражданами платы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>за коммунальные услуги в среднем по субъектам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Российской Федерации, утвержденными распоряжением Правительства Российской Федерации от 15 ноября 2024 года № 3287-р.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>2. Льготные тарифы установлены в соответствии с областным законом Ленинградской области от 20.07.2015 № 75-оз «О льготных тарифах в сферах теплоснабжения, водоснабжения и водоотведения на территории Ленинградской области».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3. 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Льготный тариф устанавливается в случае, если изменение размера совокупной платы граждан за коммунальные услуги и платы за коммунальные ресурсы, потребляемые при использовании и содержании общего имущества в многоквартирном доме, рассчитанного с учетом экономически обоснованного уровня тарифов, превышает индексы изменения размера вносимой гражданами платы за коммунальные услуги в среднем по Ленинградской области и предельно допустимые отклонения по отдельным муниципальным образованиям от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величины указанных индексов, утверждаемых Правительством Российской Федерации.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4. 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Компенсация выпадающих доходов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ресурсоснабжающих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организаций, возникающих в результате установления льготных тарифов на территории Ленинградской области, осуществляется в виде субсидий на возмещение недополученных доходов, предоставляемых указанным организациям за счет средств областного бюджета Ленинградской области в случаях и порядке, предусмотренных областным законом об областном бюджете Ленинградской области на очередной финансовый год и на плановый период, и принятым в соответствии с ним нормативным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правовым актом Правительства Ленинградской области.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>5. Условные обозначения: ГВС - горячее водоснабжение, МКД – многоквартирные дома, ИТП - индивидуальный тепловой пункт, с использованием которого приготовление горячей воды осуществляется абонентом самостоятельно.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6. 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пунктом 54 Правил предоставления коммунальных услуг собственникам и пользователям помещений в многоквартирных домах и жилых домов, утвержденных постановление Правительства Российской Федерации от 06 мая 2011 года № 354, для расчета размера платы за коммунальную услугу, в случае самостоятельного производства исполнителем коммунальной услуги по горячему водоснабжению (при отсутствии централизованного горячего водоснабжения) с использованием оборудования, входящего в состав общего имущества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собственников помещений в многоквартирном доме, применяется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одноставочный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тариф на тепловую энергию.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При установленном тарифе на тепловую энергию в целях оказания услуги горячего водоснабжения в случае самостоятельного производства исполнителем коммунальной услуги по горячему водоснабжению (при отсутствии централизованного горячего водоснабжения) с использованием оборудования, входящего в состав общего имущества собственников помещений в МКД, в размере, отличающимся от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одноставочного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тарифа на тепловую энергию (в целях оказания услуги по отоплению), подлежит применению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одноставочный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тариф на тепловую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энергию (в целях оказания услуги по ГВС в МКД, оборудованных ИТП).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7. Перечень многоквартирных домов, тепловая энергия и горячая вода в которые ранее поставлялась от котельной, расположенной по адресу: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ул.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д.21а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пр. 25 Октября, 37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пр. 25 Октября, 41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ул. 7 Армии, 9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8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11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6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12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7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14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br/>
        <w:t xml:space="preserve">8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15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9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16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10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17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11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18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12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21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13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8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14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14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15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20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16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21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17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23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18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24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19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г.Гатчина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25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A1A32" w:rsidRPr="00EA1A32" w:rsidRDefault="00EA1A32" w:rsidP="00EA1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Приложение 3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>к приказу комитета по тарифам и ценовой политике Ленинградской области</w:t>
      </w: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br/>
        <w:t>от 20 декабря 2024 года № 424-п</w:t>
      </w:r>
    </w:p>
    <w:p w:rsidR="00EA1A32" w:rsidRPr="00EA1A32" w:rsidRDefault="00EA1A32" w:rsidP="00EA1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Льготные тарифы на горячую воду (горячее водоснабжение), поставляемую населению, организациям, приобретающим горячую воду для предоставления коммунальных услуг населению, на территории муниципального образования Гатчинский муниципальный округ Ленинградской области на 2025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219"/>
        <w:gridCol w:w="1726"/>
        <w:gridCol w:w="1948"/>
        <w:gridCol w:w="2123"/>
      </w:tblGrid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N </w:t>
            </w:r>
            <w:proofErr w:type="gram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системы горячего водоснабжения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Год с календарной разбивкой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том числе: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Компонент на теплоноситель/</w:t>
            </w:r>
          </w:p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холодную воду, руб./куб.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Компонент на тепловую энергию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Одноставочный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руб./Гкал</w:t>
            </w:r>
          </w:p>
        </w:tc>
      </w:tr>
      <w:tr w:rsidR="00EA1A32" w:rsidRPr="00EA1A32" w:rsidTr="00EA1A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зоне горячего водоснабжения муниципального унитарного предприятия «Тепловые сети» г. Гатчина</w:t>
            </w:r>
          </w:p>
        </w:tc>
      </w:tr>
      <w:tr w:rsidR="00EA1A32" w:rsidRPr="00EA1A32" w:rsidTr="00EA1A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населения, организаций, приобретающих горячую воду для предоставления коммунальных услуг населению, кроме потребителей, ранее получающих тепловую энергию от газовой котельной, расположенной по адресу г. Гатчина ул.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Киргетова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д. 21а муниципального образования Гатчинский муниципальный округ Ленинградской области (тарифы указываются с учетом НДС) *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наружной сетью горячего водоснабжения, с изолированными стояками, с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2342,08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2742,58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наружной сетью горячего водоснабжения, с изолированными стояками, без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2565,14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2905,97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наружной сетью горячего водоснабжения, с неизолированными стояками, с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2183,84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2557,28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6.1.4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наружной сетью горячего водоснабжения, с неизолированными стояками, без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2342,08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2742,58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6.1.5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Без наружной сети горячего водоснабжения, </w:t>
            </w: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с изолированными стояками, с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с 01.01.2025 по </w:t>
            </w: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2448,55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2867,26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Без наружной сети горячего водоснабжения, с изолированными стояками, без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2649,25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2905,97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Без наружной сети горячего водоснабжения, с неизолированными стояками, с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2244,50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2628,31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6.1.8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Без наружной сети горячего водоснабжения, с неизолированными стояками, без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2448,55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2867,26</w:t>
            </w:r>
          </w:p>
        </w:tc>
      </w:tr>
      <w:tr w:rsidR="00EA1A32" w:rsidRPr="00EA1A32" w:rsidTr="00EA1A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Для населения, организаций, горячую воду для предоставления коммунальных услуг населению, ранее получающих тепловую энергию от газовой котельной, расположенной по адресу г. Гатчина ул.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Киргетова</w:t>
            </w:r>
            <w:proofErr w:type="spellEnd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д. 21а муниципального образования Гатчинский муниципальный округ Ленинградской области *** (тарифы указываются с учетом НДС) *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наружной сетью горячего водоснабжения, с изолированными стояками, с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2133,28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2498,08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наружной сетью горячего водоснабжения, с изолированными стояками, без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2336,44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2735,98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наружной сетью горячего водоснабжения, с неизолированными стояками, с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1989,13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2329,27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6.2.4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 наружной сетью горячего водоснабжения, с неизолированными стояками, без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2133,28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2498,08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6.2.5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Без наружной сети горячего водоснабжения, с изолированными стояками, с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2230,24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2611,61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Без наружной сети горячего водоснабжения, с изолированными стояками, без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2413,05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2823,46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Без наружной сети горячего водоснабжения, с неизолированными стояками, с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2044,39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2393,98</w:t>
            </w:r>
          </w:p>
        </w:tc>
      </w:tr>
      <w:tr w:rsidR="00EA1A32" w:rsidRPr="00EA1A32" w:rsidTr="00EA1A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6.2.8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Без наружной сети горячего водоснабжения, с неизолированными стояками, без </w:t>
            </w:r>
            <w:proofErr w:type="spellStart"/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01.01.2025 по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2230,24</w:t>
            </w:r>
          </w:p>
        </w:tc>
      </w:tr>
      <w:tr w:rsidR="00EA1A32" w:rsidRPr="00EA1A32" w:rsidTr="00EA1A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01.07.2025 по 31.12.2025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A32" w:rsidRPr="00EA1A32" w:rsidRDefault="00EA1A32" w:rsidP="00EA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A1A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2611,61</w:t>
            </w:r>
          </w:p>
        </w:tc>
      </w:tr>
    </w:tbl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* Выделяется в целях реализации пункта 6 статьи 168 Налогового кодекса Российской Федерации                       (часть вторая).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*** Перечень адресов, в отношении которых применяется тариф, приведен в примечании №5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Примечания: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1. Тарифы установлены 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индексами изменения размера вносимой гражданами платы за коммунальные услуги в среднем по субъектам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Российской Федерации, утвержденными распоряжением Правительства Российской Федерации от 15 ноября 2024 года № 3287-р.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 Льготные тарифы установлены в соответствии с областным законом Ленинградской области                              от 20.07.2015 № 75-оз «О льготных тарифах в сферах теплоснабжения, водоснабжения и водоотведения                              на территории Ленинградской области».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3. 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Льготный тариф устанавливается в случае, если изменение размера совокупной платы граждан за коммунальные услуги и платы за коммунальные ресурсы, потребляемые при использовании и содержании общего имущества в многоквартирном доме, рассчитанного с учетом экономически обоснованного уровня тарифов, превышает индексы изменения размера вносимой гражданами платы за коммунальные услуги в среднем по Ленинградской области и предельно допустимые отклонения по отдельным муниципальным образованиям от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величины указанных индексов, утверждаемых Правительством Российской Федерации.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4.         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Компенсация выпадающих доходов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ресурсоснабжающих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организаций, возникающих в результате установления льготных тарифов на территории Ленинградской области, осуществляется в виде субсидий на возмещение недополученных доходов, предоставляемых указанным организациям за счет средств областного бюджета Ленинградской области в случаях и порядке, предусмотренных областным законом об областном бюджете Ленинградской области на очередной финансовый год и на плановый период, и принятым в соответствии с ним нормативным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 правовым актом Правительства Ленинградской области.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5. Перечень многоквартирных домов, тепловая энергия и горячая вода в которые ранее поставлялась от котельной, расположенной по адресу: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ул.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д.21а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  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пр. 25 Октября, 37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2  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пр. 25 Октября, 41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3  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ул. 7 Армии, 9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4  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8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5  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11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6  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12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7  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14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8  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15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9  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16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10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17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11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18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12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ул.Гагарина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21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13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8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14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14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15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20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16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21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17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23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18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24</w:t>
      </w:r>
    </w:p>
    <w:p w:rsidR="00EA1A32" w:rsidRPr="00EA1A32" w:rsidRDefault="00EA1A32" w:rsidP="00E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19        Ленинградская обл.,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proofErr w:type="gram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.Г</w:t>
      </w:r>
      <w:proofErr w:type="gram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атчина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ул.Киргетова</w:t>
      </w:r>
      <w:proofErr w:type="spellEnd"/>
      <w:r w:rsidRPr="00EA1A32">
        <w:rPr>
          <w:rFonts w:ascii="Times New Roman" w:eastAsia="Times New Roman" w:hAnsi="Times New Roman" w:cs="Times New Roman"/>
          <w:color w:val="333333"/>
          <w:lang w:eastAsia="ru-RU"/>
        </w:rPr>
        <w:t>, 25</w:t>
      </w:r>
    </w:p>
    <w:p w:rsidR="00FE0628" w:rsidRDefault="00FE0628" w:rsidP="00EA1A32">
      <w:pPr>
        <w:spacing w:after="0" w:line="240" w:lineRule="auto"/>
        <w:rPr>
          <w:rFonts w:ascii="Times New Roman" w:hAnsi="Times New Roman" w:cs="Times New Roman"/>
        </w:rPr>
        <w:sectPr w:rsidR="00FE0628" w:rsidSect="00ED537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C7A" w:rsidRDefault="00F20C7A" w:rsidP="00EA1A32">
      <w:pPr>
        <w:spacing w:after="0" w:line="240" w:lineRule="auto"/>
        <w:rPr>
          <w:rFonts w:ascii="Times New Roman" w:hAnsi="Times New Roman" w:cs="Times New Roman"/>
        </w:rPr>
      </w:pPr>
    </w:p>
    <w:p w:rsidR="00FE0628" w:rsidRPr="00FE0628" w:rsidRDefault="00FE0628" w:rsidP="00FE0628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Приложение 1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к приказу комитета по тарифам и ценовой политике Ленинградской области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от 20 декабря 2024 года № 424-п (в редакции приказа от 31.03.2025г. № 47-п)</w:t>
      </w:r>
    </w:p>
    <w:p w:rsidR="00FE0628" w:rsidRPr="00FE0628" w:rsidRDefault="00FE0628" w:rsidP="00FE0628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E0628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Тарифы на тепловую энергию, поставляемую населению, организациям, приобретающим тепловую энергию для предоставления коммунальных услуг населению, на территории Гатчинского муниципального района Ленинградской области на 2025 год</w:t>
      </w:r>
    </w:p>
    <w:tbl>
      <w:tblPr>
        <w:tblW w:w="33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649"/>
        <w:gridCol w:w="3036"/>
        <w:gridCol w:w="1738"/>
      </w:tblGrid>
      <w:tr w:rsidR="00FE0628" w:rsidRPr="00FE0628" w:rsidTr="00FE0628">
        <w:trPr>
          <w:trHeight w:val="426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 календарной разбивкой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E0628" w:rsidRPr="00FE0628" w:rsidTr="00FE0628">
        <w:trPr>
          <w:trHeight w:val="2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зоне теплоснабжения муниципального унитарного предприятия «Тепловые сети» г. Гатчина***</w:t>
            </w: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населения, организаций, приобретающих тепловую энергию для предоставления коммунальных услуг населению, кроме потребителей, ранее получающих тепловую энергию от газовой котельной, расположенной по адресу г. Гатчина ул.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 21а муниципального образования «Город Гатчина» Гатчинского муниципального  района Ленинградской области (тарифы указываются с учетом НДС) *</w:t>
            </w: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 для оказания услуги по отоплению, руб./Гкал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31.03.2025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2865,28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01.04.2025 по 30.06.2025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 для оказания услуги по ГВС в жилых домах, оборудованных ИТП, руб./Гкал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1 987,07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2326,86</w:t>
            </w: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населения, организаций, приобретающих тепловую энергию для предоставления коммунальных услуг населению, муниципального образования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Веревское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Гатчинского муниципального  района Ленинградской области (тарифы указываются с учетом НДС) *</w:t>
            </w: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 для оказания услуги по отоплению, руб./Гкал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31.03.2025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2832,82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01.04.2025 по 30.06.2025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5.2.2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 для оказания услуги по ГВС в жилых домах, оборудованных ИТП, руб./Гкал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1 870,15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2189,95</w:t>
            </w: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населения, организаций, приобретающих тепловую энергию для предоставления коммунальных услуг населению, ранее получающих тепловую энергию от газовой котельной, расположенной по адресу г. Гатчина ул.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 21а муниципального образования «Город Гатчина» Гатчинского муниципального  района Ленинградской области ****  (тарифы указываются с учетом НДС) *</w:t>
            </w: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 для оказания услуги по отоплению, руб./Гкал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2 411,15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 для оказания услуги по ГВС в жилых домах, оборудованных ИТП, руб./Гкал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1883,00  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2204,99</w:t>
            </w:r>
          </w:p>
        </w:tc>
      </w:tr>
    </w:tbl>
    <w:p w:rsidR="00FE0628" w:rsidRPr="00FE0628" w:rsidRDefault="00FE0628" w:rsidP="00FE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 Перечень многоквартирных домов, тепловая энергия и горячая вода в которые ранее поставлялась от котельной, расположенной по адресу: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</w:t>
      </w:r>
      <w:proofErr w:type="gram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.Г</w:t>
      </w:r>
      <w:proofErr w:type="gram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ул.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д.21а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пр. 25 Октября, 37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2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пр. 25 Октября, 41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3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ул. 7 Армии, 9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4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8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5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</w:t>
      </w:r>
      <w:proofErr w:type="gram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.Г</w:t>
      </w:r>
      <w:proofErr w:type="gram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11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6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12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7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14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8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15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9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16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10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17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11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18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12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21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13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</w:t>
      </w:r>
      <w:proofErr w:type="gram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.Г</w:t>
      </w:r>
      <w:proofErr w:type="gram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8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14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14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15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20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16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21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17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23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18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24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19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25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6"/>
      </w:tblGrid>
      <w:tr w:rsidR="00FE0628" w:rsidRPr="00FE0628" w:rsidTr="00FE0628">
        <w:tc>
          <w:tcPr>
            <w:tcW w:w="5000" w:type="pct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FE0628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E0628" w:rsidRPr="00FE0628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FE0628" w:rsidRPr="00FE0628" w:rsidRDefault="00FE0628" w:rsidP="00FE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FE0628">
                      <w:rPr>
                        <w:rFonts w:ascii="Verdana" w:eastAsia="Times New Roman" w:hAnsi="Verdana" w:cs="Times New Roman"/>
                        <w:color w:val="000000"/>
                        <w:sz w:val="21"/>
                        <w:szCs w:val="21"/>
                        <w:lang w:eastAsia="ru-RU"/>
                      </w:rPr>
                      <w:t>Новые тарифы на тепловую энергию, поставляемую населению в 2025 году</w:t>
                    </w:r>
                    <w:proofErr w:type="gramStart"/>
                  </w:hyperlink>
                  <w:r w:rsidRPr="00FE0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0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FE0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соответствии с изменениями к приказу комитета по тарифам и ценовой политике Ленинградской области от 20 декабря 2024 года № 424-п (в редакции приказа от 31.03.2025г. № 47-п) установлены новые тарифы на тепловую энергию, поставляемую населению, организациям, приобретающим тепловую энергию для предоставления коммунальных услуг населению, на территории Гатчинского муниципального района Ленинградской области на 2025 год.</w:t>
                  </w:r>
                </w:p>
              </w:tc>
            </w:tr>
          </w:tbl>
          <w:p w:rsidR="00FE0628" w:rsidRPr="00FE0628" w:rsidRDefault="00FE0628" w:rsidP="00FE062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FE0628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E0628" w:rsidRPr="00FE0628" w:rsidRDefault="00FE0628" w:rsidP="00FE0628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Приложение 2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к приказу комитета по тарифам и ценовой политике Ленинградской области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от 20 декабря 2024 года № 424-п (в редакции приказа от 31.03.2025г. № 47-п)</w:t>
      </w:r>
    </w:p>
    <w:p w:rsidR="00FE0628" w:rsidRPr="00FE0628" w:rsidRDefault="00FE0628" w:rsidP="00FE0628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FE0628" w:rsidRPr="00FE0628" w:rsidRDefault="00FE0628" w:rsidP="00FE0628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E0628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Льготные тарифы на горячую воду (горячее водоснабжение), поставляемую населению, организациям, приобретающим горячую воду для предоставления коммунальных услуг населению, на территории Гатчинского муниципального района Ленинградской области на 2025 год</w:t>
      </w:r>
    </w:p>
    <w:p w:rsidR="00FE0628" w:rsidRPr="00FE0628" w:rsidRDefault="00FE0628" w:rsidP="00FE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6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391"/>
        <w:gridCol w:w="1365"/>
        <w:gridCol w:w="1635"/>
        <w:gridCol w:w="1765"/>
      </w:tblGrid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системы горячего водоснабжения</w:t>
            </w:r>
          </w:p>
        </w:tc>
        <w:tc>
          <w:tcPr>
            <w:tcW w:w="31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 календарной разбивкой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теплоноситель/</w:t>
            </w: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холодную воду, руб./куб. м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руб./Гкал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зоне теплоснабжения, горячего водоснабжения муниципального унитарного предприятия «Тепловые сети» г. Гатчина***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населения, организаций, приобретающих тепловую энергию для предоставления коммунальных услуг населению, кроме потребителей, ранее получающих тепловую энергию от газовой котельной, расположенной по адресу г. Гатчина ул.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 21а муниципального образования «Город Гатчина» Гатчинского муниципального  района Ленинградской области (тарифы указываются с учетом НДС) *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наружной сетью горячего водоснабжения, с изолированными стояками, с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2342,08</w:t>
            </w:r>
          </w:p>
        </w:tc>
        <w:bookmarkStart w:id="0" w:name="_GoBack"/>
        <w:bookmarkEnd w:id="0"/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2742,58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наружной сетью горячего водоснабжения, с изолированными стояками, без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2565,14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6.1.3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наружной сетью горячего водоснабжения, с неизолированными стояками, с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2183,84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2557,28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наружной сетью горячего водоснабжения, с неизолированными стояками, без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2342,08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2742,58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наружной сети горячего водоснабжения, с изолированными стояками, с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2448,55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наружной сети горячего водоснабжения, с изолированными стояками, без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2649,25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наружной сети горячего водоснабжения, с неизолированными стояками, с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2244,50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2628,31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6.1.8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наружной сети горячего водоснабжения, с неизолированными стояками, без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2448,55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населения, организаций, приобретающих тепловую энергию для предоставления коммунальных услуг населению, ранее получающих тепловую энергию от газовой котельной, расположенной по адресу г. Гатчина ул.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 21а муниципального образования «Город Гатчина» Гатчинского муниципального  района Ленинградской области **** (тарифы указываются с учетом НДС) *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наружной сетью горячего водоснабжения, с </w:t>
            </w: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изолированными стояками, с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2133,28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2498,08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6.2.2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наружной сетью горячего водоснабжения, с изолированными стояками, без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2336,44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2735,98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наружной сетью горячего водоснабжения, с неизолированными стояками, с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1989,13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2329,27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наружной сетью горячего водоснабжения, с неизолированными стояками, без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2133,28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2498,08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наружной сети горячего водоснабжения, с изолированными стояками, с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2230,24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2611,61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наружной сети горячего водоснабжения, с изолированными стояками, без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2413,05  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2809,52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6.2.7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наружной сети горячего водоснабжения, с неизолированными стояками, с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2044,39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2393,98</w:t>
            </w:r>
          </w:p>
        </w:tc>
      </w:tr>
      <w:tr w:rsidR="00FE0628" w:rsidRPr="00FE0628" w:rsidTr="00FE0628">
        <w:trPr>
          <w:jc w:val="center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6.2.8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наружной сети горячего водоснабжения, с неизолированными стояками, без </w:t>
            </w:r>
            <w:proofErr w:type="spellStart"/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30.06.2025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2230,24</w:t>
            </w:r>
          </w:p>
        </w:tc>
      </w:tr>
      <w:tr w:rsidR="00FE0628" w:rsidRPr="00FE0628" w:rsidTr="00FE062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01.07.2025 по 31.12.2025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628" w:rsidRPr="00FE0628" w:rsidRDefault="00FE0628" w:rsidP="00FE0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2611,61</w:t>
            </w:r>
          </w:p>
        </w:tc>
      </w:tr>
    </w:tbl>
    <w:p w:rsidR="00FE0628" w:rsidRPr="00FE0628" w:rsidRDefault="00FE0628" w:rsidP="00FE0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FE0628" w:rsidRPr="00FE0628" w:rsidRDefault="00FE0628" w:rsidP="00FE0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 xml:space="preserve">  Перечень многоквартирных домов, тепловая энергия и горячая вода в которые ранее поставлялась от котельной, расположенной по адресу: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</w:t>
      </w:r>
      <w:proofErr w:type="gramStart"/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.Г</w:t>
      </w:r>
      <w:proofErr w:type="gramEnd"/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ул.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д.21а</w:t>
      </w:r>
    </w:p>
    <w:p w:rsidR="00FE0628" w:rsidRPr="00EA1A32" w:rsidRDefault="00FE0628" w:rsidP="00FE0628">
      <w:pPr>
        <w:spacing w:after="0" w:line="240" w:lineRule="auto"/>
        <w:rPr>
          <w:rFonts w:ascii="Times New Roman" w:hAnsi="Times New Roman" w:cs="Times New Roman"/>
        </w:rPr>
      </w:pP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</w:t>
      </w:r>
      <w:proofErr w:type="gram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.Г</w:t>
      </w:r>
      <w:proofErr w:type="gram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пр. 25 Октября, 37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2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пр. 25 Октября, 41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3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ул. 7 Армии, 9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4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8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5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11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6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12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7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14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8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</w:t>
      </w:r>
      <w:proofErr w:type="gram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.Г</w:t>
      </w:r>
      <w:proofErr w:type="gram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15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9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16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10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17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11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18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12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21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13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8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14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14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15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</w:t>
      </w:r>
      <w:proofErr w:type="gram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.К</w:t>
      </w:r>
      <w:proofErr w:type="gram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20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16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21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17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23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18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24</w:t>
      </w:r>
      <w:r w:rsidRPr="00FE06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19 Ленинградская обл.,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г.Гатчина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ул.Киргетова</w:t>
      </w:r>
      <w:proofErr w:type="spellEnd"/>
      <w:r w:rsidRPr="00FE062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, 25</w:t>
      </w:r>
    </w:p>
    <w:sectPr w:rsidR="00FE0628" w:rsidRPr="00EA1A32" w:rsidSect="00ED5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539"/>
    <w:multiLevelType w:val="multilevel"/>
    <w:tmpl w:val="6E6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048EC"/>
    <w:multiLevelType w:val="multilevel"/>
    <w:tmpl w:val="AE6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8D"/>
    <w:rsid w:val="00531361"/>
    <w:rsid w:val="00C0158D"/>
    <w:rsid w:val="00C729F3"/>
    <w:rsid w:val="00EA1A32"/>
    <w:rsid w:val="00ED537C"/>
    <w:rsid w:val="00F20C7A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37C"/>
    <w:rPr>
      <w:b/>
      <w:bCs/>
    </w:rPr>
  </w:style>
  <w:style w:type="character" w:styleId="a5">
    <w:name w:val="Hyperlink"/>
    <w:basedOn w:val="a0"/>
    <w:uiPriority w:val="99"/>
    <w:semiHidden/>
    <w:unhideWhenUsed/>
    <w:rsid w:val="00FE0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37C"/>
    <w:rPr>
      <w:b/>
      <w:bCs/>
    </w:rPr>
  </w:style>
  <w:style w:type="character" w:styleId="a5">
    <w:name w:val="Hyperlink"/>
    <w:basedOn w:val="a0"/>
    <w:uiPriority w:val="99"/>
    <w:semiHidden/>
    <w:unhideWhenUsed/>
    <w:rsid w:val="00FE0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gtn.ru/tarifs/?SECTION_ID=22&amp;ELEMENT_ID=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3</cp:revision>
  <cp:lastPrinted>2025-06-16T20:17:00Z</cp:lastPrinted>
  <dcterms:created xsi:type="dcterms:W3CDTF">2025-06-16T20:23:00Z</dcterms:created>
  <dcterms:modified xsi:type="dcterms:W3CDTF">2025-06-16T20:29:00Z</dcterms:modified>
</cp:coreProperties>
</file>